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89C72E" w14:textId="77777777" w:rsidR="00615AC6" w:rsidRDefault="00181122" w:rsidP="00181122">
      <w:pPr>
        <w:jc w:val="right"/>
        <w:rPr>
          <w:sz w:val="36"/>
          <w:szCs w:val="36"/>
        </w:rPr>
      </w:pPr>
      <w:r w:rsidRPr="00181122">
        <w:rPr>
          <w:sz w:val="36"/>
          <w:szCs w:val="36"/>
        </w:rPr>
        <w:object w:dxaOrig="10634" w:dyaOrig="3975" w14:anchorId="7DFA2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95.25pt" o:ole="">
            <v:imagedata r:id="rId5" o:title=""/>
          </v:shape>
          <o:OLEObject Type="Embed" ProgID="MSPhotoEd.3" ShapeID="_x0000_i1025" DrawAspect="Content" ObjectID="_1622532706" r:id="rId6"/>
        </w:object>
      </w:r>
    </w:p>
    <w:p w14:paraId="07AB2893" w14:textId="003C87F1" w:rsidR="00615AC6" w:rsidRPr="00181122" w:rsidRDefault="007D74EF">
      <w:pPr>
        <w:rPr>
          <w:b/>
          <w:sz w:val="36"/>
          <w:szCs w:val="36"/>
        </w:rPr>
      </w:pPr>
      <w:r>
        <w:rPr>
          <w:b/>
          <w:sz w:val="36"/>
          <w:szCs w:val="36"/>
        </w:rPr>
        <w:t xml:space="preserve">Inspiring </w:t>
      </w:r>
      <w:r w:rsidR="002D557B">
        <w:rPr>
          <w:b/>
          <w:sz w:val="36"/>
          <w:szCs w:val="36"/>
        </w:rPr>
        <w:t>Talent</w:t>
      </w:r>
      <w:r>
        <w:rPr>
          <w:b/>
          <w:sz w:val="36"/>
          <w:szCs w:val="36"/>
        </w:rPr>
        <w:t xml:space="preserve"> </w:t>
      </w:r>
      <w:r w:rsidR="00403975">
        <w:rPr>
          <w:b/>
          <w:sz w:val="36"/>
          <w:szCs w:val="36"/>
        </w:rPr>
        <w:t>Group Meeting Notes</w:t>
      </w:r>
    </w:p>
    <w:p w14:paraId="5841442F" w14:textId="0BB19102" w:rsidR="0093446B" w:rsidRDefault="00797372" w:rsidP="0093446B">
      <w:pPr>
        <w:spacing w:after="0" w:line="240" w:lineRule="auto"/>
        <w:contextualSpacing/>
        <w:rPr>
          <w:b/>
        </w:rPr>
      </w:pPr>
      <w:r>
        <w:rPr>
          <w:b/>
        </w:rPr>
        <w:t>Date:</w:t>
      </w:r>
      <w:r>
        <w:rPr>
          <w:b/>
        </w:rPr>
        <w:tab/>
      </w:r>
      <w:r>
        <w:rPr>
          <w:b/>
        </w:rPr>
        <w:tab/>
      </w:r>
      <w:r>
        <w:rPr>
          <w:b/>
        </w:rPr>
        <w:tab/>
      </w:r>
      <w:r w:rsidR="00D41600">
        <w:t>Tuesday 11</w:t>
      </w:r>
      <w:r w:rsidR="00D41600" w:rsidRPr="00D41600">
        <w:rPr>
          <w:vertAlign w:val="superscript"/>
        </w:rPr>
        <w:t>th</w:t>
      </w:r>
      <w:r w:rsidR="00D41600">
        <w:t xml:space="preserve"> June 2019</w:t>
      </w:r>
      <w:r w:rsidR="004E11F8">
        <w:t xml:space="preserve"> </w:t>
      </w:r>
    </w:p>
    <w:p w14:paraId="324FD0E2" w14:textId="77777777" w:rsidR="00797372" w:rsidRDefault="00797372" w:rsidP="0093446B">
      <w:pPr>
        <w:spacing w:after="0" w:line="240" w:lineRule="auto"/>
        <w:contextualSpacing/>
      </w:pPr>
    </w:p>
    <w:p w14:paraId="3CDE8A94" w14:textId="604F1EA1" w:rsidR="00567205" w:rsidRDefault="00615AC6" w:rsidP="009F222D">
      <w:pPr>
        <w:spacing w:after="0" w:line="240" w:lineRule="auto"/>
      </w:pPr>
      <w:r w:rsidRPr="00181122">
        <w:rPr>
          <w:b/>
        </w:rPr>
        <w:t>Attendees:</w:t>
      </w:r>
      <w:r w:rsidRPr="00181122">
        <w:rPr>
          <w:b/>
        </w:rPr>
        <w:tab/>
      </w:r>
      <w:r>
        <w:tab/>
      </w:r>
    </w:p>
    <w:tbl>
      <w:tblPr>
        <w:tblStyle w:val="TableGrid"/>
        <w:tblW w:w="0" w:type="auto"/>
        <w:tblLook w:val="04A0" w:firstRow="1" w:lastRow="0" w:firstColumn="1" w:lastColumn="0" w:noHBand="0" w:noVBand="1"/>
      </w:tblPr>
      <w:tblGrid>
        <w:gridCol w:w="2972"/>
        <w:gridCol w:w="3516"/>
      </w:tblGrid>
      <w:tr w:rsidR="007D74EF" w:rsidRPr="009F222D" w14:paraId="07EE494B" w14:textId="77777777" w:rsidTr="009127CB">
        <w:tc>
          <w:tcPr>
            <w:tcW w:w="2972" w:type="dxa"/>
          </w:tcPr>
          <w:p w14:paraId="788E632C" w14:textId="77777777" w:rsidR="007D74EF" w:rsidRPr="009F222D" w:rsidRDefault="007D74EF" w:rsidP="009F222D">
            <w:pPr>
              <w:rPr>
                <w:b/>
                <w:i/>
              </w:rPr>
            </w:pPr>
            <w:r w:rsidRPr="009F222D">
              <w:rPr>
                <w:b/>
                <w:i/>
              </w:rPr>
              <w:t>Name</w:t>
            </w:r>
          </w:p>
        </w:tc>
        <w:tc>
          <w:tcPr>
            <w:tcW w:w="3516" w:type="dxa"/>
          </w:tcPr>
          <w:p w14:paraId="7CD8DF4A" w14:textId="7A5B3BA1" w:rsidR="007D74EF" w:rsidRPr="009F222D" w:rsidRDefault="007D74EF" w:rsidP="009F222D">
            <w:pPr>
              <w:rPr>
                <w:b/>
                <w:i/>
              </w:rPr>
            </w:pPr>
            <w:r>
              <w:rPr>
                <w:b/>
                <w:i/>
              </w:rPr>
              <w:t>Organisation</w:t>
            </w:r>
          </w:p>
        </w:tc>
      </w:tr>
      <w:tr w:rsidR="00BE6E39" w14:paraId="1571D4D5" w14:textId="77777777" w:rsidTr="009127CB">
        <w:tc>
          <w:tcPr>
            <w:tcW w:w="2972" w:type="dxa"/>
          </w:tcPr>
          <w:p w14:paraId="232426FB" w14:textId="5AEF07B2" w:rsidR="00BE6E39" w:rsidRDefault="00BE6E39" w:rsidP="00083732">
            <w:r>
              <w:t>Robin Westacott (</w:t>
            </w:r>
            <w:r w:rsidR="00083732">
              <w:t>Co-chair</w:t>
            </w:r>
            <w:r>
              <w:t>)</w:t>
            </w:r>
          </w:p>
        </w:tc>
        <w:tc>
          <w:tcPr>
            <w:tcW w:w="3516" w:type="dxa"/>
          </w:tcPr>
          <w:p w14:paraId="17103BCF" w14:textId="63F186E1" w:rsidR="00BE6E39" w:rsidRDefault="00BE6E39" w:rsidP="00B75D16">
            <w:r>
              <w:t xml:space="preserve">Heriot Watt University </w:t>
            </w:r>
          </w:p>
        </w:tc>
      </w:tr>
      <w:tr w:rsidR="00083732" w14:paraId="239DA0C6" w14:textId="77777777" w:rsidTr="009127CB">
        <w:tc>
          <w:tcPr>
            <w:tcW w:w="2972" w:type="dxa"/>
          </w:tcPr>
          <w:p w14:paraId="013F7A9A" w14:textId="1F073087" w:rsidR="00083732" w:rsidRDefault="00083732" w:rsidP="00083732">
            <w:r>
              <w:t>Ailsa Sutherland (Co-chair)</w:t>
            </w:r>
          </w:p>
        </w:tc>
        <w:tc>
          <w:tcPr>
            <w:tcW w:w="3516" w:type="dxa"/>
          </w:tcPr>
          <w:p w14:paraId="7B4F1320" w14:textId="3F57110E" w:rsidR="00083732" w:rsidRDefault="00083732" w:rsidP="00B75D16">
            <w:r>
              <w:t>FWB Park Brown</w:t>
            </w:r>
          </w:p>
        </w:tc>
      </w:tr>
      <w:tr w:rsidR="00083732" w14:paraId="6914C524" w14:textId="77777777" w:rsidTr="009127CB">
        <w:tc>
          <w:tcPr>
            <w:tcW w:w="2972" w:type="dxa"/>
          </w:tcPr>
          <w:p w14:paraId="19CAE5A4" w14:textId="02580510" w:rsidR="00083732" w:rsidRDefault="00083732" w:rsidP="00083732">
            <w:r>
              <w:t xml:space="preserve">Joanne Davidson </w:t>
            </w:r>
          </w:p>
        </w:tc>
        <w:tc>
          <w:tcPr>
            <w:tcW w:w="3516" w:type="dxa"/>
          </w:tcPr>
          <w:p w14:paraId="17D88937" w14:textId="05C6E7D2" w:rsidR="00083732" w:rsidRDefault="00083732" w:rsidP="00B75D16">
            <w:r>
              <w:t>Edinburgh Chamber of Commerce</w:t>
            </w:r>
          </w:p>
        </w:tc>
      </w:tr>
      <w:tr w:rsidR="00BE6E39" w14:paraId="142BE644" w14:textId="77777777" w:rsidTr="009127CB">
        <w:tc>
          <w:tcPr>
            <w:tcW w:w="2972" w:type="dxa"/>
          </w:tcPr>
          <w:p w14:paraId="402C946E" w14:textId="29A7C578" w:rsidR="00BE6E39" w:rsidRDefault="00BE6E39" w:rsidP="009F222D">
            <w:r>
              <w:t>Fiona MacFarlane</w:t>
            </w:r>
          </w:p>
        </w:tc>
        <w:tc>
          <w:tcPr>
            <w:tcW w:w="3516" w:type="dxa"/>
          </w:tcPr>
          <w:p w14:paraId="0992C9AE" w14:textId="14AC46EA" w:rsidR="00BE6E39" w:rsidRDefault="00BE6E39" w:rsidP="005C605E">
            <w:r>
              <w:t xml:space="preserve">Morham Solutions </w:t>
            </w:r>
          </w:p>
        </w:tc>
      </w:tr>
      <w:tr w:rsidR="00083732" w14:paraId="6AFC4EEC" w14:textId="77777777" w:rsidTr="009127CB">
        <w:tc>
          <w:tcPr>
            <w:tcW w:w="2972" w:type="dxa"/>
          </w:tcPr>
          <w:p w14:paraId="37F344C0" w14:textId="52DABBFE" w:rsidR="00083732" w:rsidRDefault="00083732" w:rsidP="00083732">
            <w:r>
              <w:t>Rebecca Neish</w:t>
            </w:r>
            <w:r w:rsidR="007149E5">
              <w:t xml:space="preserve"> (Minutes)</w:t>
            </w:r>
          </w:p>
        </w:tc>
        <w:tc>
          <w:tcPr>
            <w:tcW w:w="3516" w:type="dxa"/>
          </w:tcPr>
          <w:p w14:paraId="0AA159BD" w14:textId="4FC3A53A" w:rsidR="00083732" w:rsidRDefault="00083732" w:rsidP="00083732">
            <w:r>
              <w:t>Edinburgh Chamber of Commerce</w:t>
            </w:r>
          </w:p>
        </w:tc>
      </w:tr>
      <w:tr w:rsidR="007149E5" w14:paraId="52035B93" w14:textId="77777777" w:rsidTr="009127CB">
        <w:tc>
          <w:tcPr>
            <w:tcW w:w="2972" w:type="dxa"/>
          </w:tcPr>
          <w:p w14:paraId="3C67964A" w14:textId="6976D1BA" w:rsidR="007149E5" w:rsidRDefault="007149E5" w:rsidP="00083732">
            <w:r w:rsidRPr="007149E5">
              <w:t>Sharon Wallace</w:t>
            </w:r>
          </w:p>
        </w:tc>
        <w:tc>
          <w:tcPr>
            <w:tcW w:w="3516" w:type="dxa"/>
          </w:tcPr>
          <w:p w14:paraId="6CFD71CB" w14:textId="1E52621F" w:rsidR="007149E5" w:rsidRDefault="007149E5" w:rsidP="00083732">
            <w:r w:rsidRPr="007149E5">
              <w:t>Phoenix</w:t>
            </w:r>
          </w:p>
        </w:tc>
      </w:tr>
    </w:tbl>
    <w:p w14:paraId="26361840" w14:textId="77777777" w:rsidR="00B738DD" w:rsidRDefault="00B738DD" w:rsidP="00360E26">
      <w:pPr>
        <w:tabs>
          <w:tab w:val="left" w:pos="2325"/>
        </w:tabs>
        <w:spacing w:after="0" w:line="240" w:lineRule="auto"/>
        <w:rPr>
          <w:b/>
        </w:rPr>
      </w:pPr>
    </w:p>
    <w:p w14:paraId="00AD08DB" w14:textId="40BB73F2" w:rsidR="002A1BBE" w:rsidRPr="00083732" w:rsidRDefault="00B738DD" w:rsidP="007149E5">
      <w:r>
        <w:rPr>
          <w:b/>
        </w:rPr>
        <w:t>Apologies:</w:t>
      </w:r>
      <w:r w:rsidR="00403975">
        <w:rPr>
          <w:b/>
        </w:rPr>
        <w:t xml:space="preserve"> </w:t>
      </w:r>
      <w:r w:rsidR="00083732">
        <w:t>Stuart Cronin</w:t>
      </w:r>
      <w:r w:rsidR="00B46518">
        <w:t xml:space="preserve"> – Edinburgh College</w:t>
      </w:r>
      <w:r w:rsidR="00083732">
        <w:t xml:space="preserve">, </w:t>
      </w:r>
      <w:r w:rsidR="00BE6E39">
        <w:t>Maryann</w:t>
      </w:r>
      <w:r w:rsidR="00083732">
        <w:t>e Barclay – Forth View Primary,</w:t>
      </w:r>
      <w:r w:rsidR="007149E5">
        <w:t xml:space="preserve"> </w:t>
      </w:r>
      <w:r w:rsidR="00083732">
        <w:t>Alan Paterson – George Watson’s College</w:t>
      </w:r>
      <w:r w:rsidR="007149E5">
        <w:t>, Michelle Fenwick - Developing the Young Workforce (ECC), Finlay MacCorquodale - Edinburgh Napier University, Fiona Forest-Anderson - Edinburgh Napier University, Lucy Everett</w:t>
      </w:r>
      <w:r w:rsidR="007149E5">
        <w:tab/>
        <w:t xml:space="preserve">- University of Edinburgh, Barry Nichol - Anderson Strathern, Anna Lyle - Edinburgh Chamber of Commerce. </w:t>
      </w:r>
    </w:p>
    <w:p w14:paraId="03CA3578" w14:textId="74D9E28C" w:rsidR="0037121C" w:rsidRDefault="0037121C" w:rsidP="00567205">
      <w:pPr>
        <w:spacing w:after="0" w:line="240" w:lineRule="auto"/>
        <w:rPr>
          <w:b/>
        </w:rPr>
      </w:pPr>
      <w:r>
        <w:rPr>
          <w:b/>
        </w:rPr>
        <w:t>Agenda:</w:t>
      </w:r>
    </w:p>
    <w:p w14:paraId="4331E24A" w14:textId="686D3F3F" w:rsidR="00567205" w:rsidRDefault="004E11F8" w:rsidP="004E11F8">
      <w:pPr>
        <w:pStyle w:val="ListParagraph"/>
        <w:numPr>
          <w:ilvl w:val="0"/>
          <w:numId w:val="12"/>
        </w:numPr>
        <w:spacing w:after="0" w:line="240" w:lineRule="auto"/>
        <w:contextualSpacing w:val="0"/>
        <w:rPr>
          <w:rFonts w:cs="Arial"/>
          <w:bCs/>
        </w:rPr>
      </w:pPr>
      <w:r>
        <w:rPr>
          <w:rFonts w:cs="Arial"/>
          <w:bCs/>
        </w:rPr>
        <w:t xml:space="preserve">Welcome </w:t>
      </w:r>
      <w:r w:rsidR="00BE6E39">
        <w:rPr>
          <w:rFonts w:cs="Arial"/>
          <w:bCs/>
        </w:rPr>
        <w:t>and introductions of new group members</w:t>
      </w:r>
    </w:p>
    <w:p w14:paraId="215F386F" w14:textId="77777777" w:rsidR="00813CC6" w:rsidRDefault="009127CB" w:rsidP="00813CC6">
      <w:pPr>
        <w:pStyle w:val="ListParagraph"/>
        <w:numPr>
          <w:ilvl w:val="0"/>
          <w:numId w:val="12"/>
        </w:numPr>
        <w:spacing w:after="0" w:line="240" w:lineRule="auto"/>
        <w:contextualSpacing w:val="0"/>
        <w:rPr>
          <w:rFonts w:cs="Arial"/>
          <w:bCs/>
        </w:rPr>
      </w:pPr>
      <w:r>
        <w:rPr>
          <w:rFonts w:cs="Arial"/>
          <w:bCs/>
        </w:rPr>
        <w:t xml:space="preserve">Notes/Actions </w:t>
      </w:r>
      <w:r w:rsidR="00133F31">
        <w:rPr>
          <w:rFonts w:cs="Arial"/>
          <w:bCs/>
        </w:rPr>
        <w:t xml:space="preserve">from previous minutes </w:t>
      </w:r>
    </w:p>
    <w:p w14:paraId="133F9CA6" w14:textId="58316E71" w:rsidR="00813CC6" w:rsidRPr="00813CC6" w:rsidRDefault="007149E5" w:rsidP="00813CC6">
      <w:pPr>
        <w:pStyle w:val="ListParagraph"/>
        <w:numPr>
          <w:ilvl w:val="0"/>
          <w:numId w:val="12"/>
        </w:numPr>
        <w:spacing w:after="0" w:line="240" w:lineRule="auto"/>
        <w:contextualSpacing w:val="0"/>
        <w:rPr>
          <w:rFonts w:cs="Arial"/>
          <w:bCs/>
        </w:rPr>
      </w:pPr>
      <w:r>
        <w:rPr>
          <w:rFonts w:cs="Arial"/>
          <w:bCs/>
        </w:rPr>
        <w:t>Kate Kelman, Strategy &amp; Performance for Capital City Partners - Presentation</w:t>
      </w:r>
    </w:p>
    <w:p w14:paraId="71D88DD9" w14:textId="69E5EBED" w:rsidR="00813CC6" w:rsidRPr="00813CC6" w:rsidRDefault="00813CC6" w:rsidP="00813CC6">
      <w:pPr>
        <w:pStyle w:val="ListParagraph"/>
        <w:numPr>
          <w:ilvl w:val="0"/>
          <w:numId w:val="12"/>
        </w:numPr>
        <w:spacing w:after="0" w:line="240" w:lineRule="auto"/>
        <w:contextualSpacing w:val="0"/>
        <w:rPr>
          <w:rFonts w:cs="Arial"/>
          <w:bCs/>
        </w:rPr>
      </w:pPr>
      <w:r>
        <w:rPr>
          <w:bCs/>
        </w:rPr>
        <w:t xml:space="preserve">Year ahead </w:t>
      </w:r>
      <w:r w:rsidR="007149E5">
        <w:rPr>
          <w:bCs/>
        </w:rPr>
        <w:t xml:space="preserve">– progression on work plan and discussion on upcoming events. </w:t>
      </w:r>
    </w:p>
    <w:p w14:paraId="142615D4" w14:textId="2DBE311D" w:rsidR="00133F31" w:rsidRDefault="00133F31" w:rsidP="00567205">
      <w:pPr>
        <w:pStyle w:val="ListParagraph"/>
        <w:numPr>
          <w:ilvl w:val="0"/>
          <w:numId w:val="12"/>
        </w:numPr>
        <w:spacing w:after="0" w:line="240" w:lineRule="auto"/>
        <w:contextualSpacing w:val="0"/>
        <w:rPr>
          <w:rFonts w:cs="Arial"/>
          <w:bCs/>
        </w:rPr>
      </w:pPr>
      <w:r>
        <w:rPr>
          <w:rFonts w:cs="Arial"/>
          <w:bCs/>
        </w:rPr>
        <w:t>AOB</w:t>
      </w:r>
    </w:p>
    <w:p w14:paraId="3EFB53FA" w14:textId="24CF26CE" w:rsidR="004E11F8" w:rsidRDefault="007149E5" w:rsidP="00567205">
      <w:pPr>
        <w:pStyle w:val="ListParagraph"/>
        <w:numPr>
          <w:ilvl w:val="0"/>
          <w:numId w:val="12"/>
        </w:numPr>
        <w:spacing w:after="0" w:line="240" w:lineRule="auto"/>
        <w:contextualSpacing w:val="0"/>
        <w:rPr>
          <w:rFonts w:cs="Arial"/>
          <w:bCs/>
        </w:rPr>
      </w:pPr>
      <w:r>
        <w:rPr>
          <w:rFonts w:cs="Arial"/>
          <w:bCs/>
        </w:rPr>
        <w:t>Close</w:t>
      </w:r>
    </w:p>
    <w:p w14:paraId="52CAE914" w14:textId="77777777" w:rsidR="00067690" w:rsidRDefault="00067690" w:rsidP="00567205">
      <w:pPr>
        <w:spacing w:after="0" w:line="240" w:lineRule="auto"/>
        <w:rPr>
          <w:b/>
        </w:rPr>
      </w:pPr>
    </w:p>
    <w:p w14:paraId="129E7577" w14:textId="640D22A8" w:rsidR="00567205" w:rsidRPr="00181122" w:rsidRDefault="00692E12" w:rsidP="00567205">
      <w:pPr>
        <w:spacing w:after="0" w:line="240" w:lineRule="auto"/>
        <w:rPr>
          <w:b/>
        </w:rPr>
      </w:pPr>
      <w:r w:rsidRPr="00181122">
        <w:rPr>
          <w:b/>
        </w:rPr>
        <w:t>Actions</w:t>
      </w:r>
      <w:r w:rsidR="00A618E4">
        <w:rPr>
          <w:b/>
        </w:rPr>
        <w:t>:</w:t>
      </w:r>
    </w:p>
    <w:tbl>
      <w:tblPr>
        <w:tblStyle w:val="TableGrid"/>
        <w:tblW w:w="0" w:type="auto"/>
        <w:tblLook w:val="04A0" w:firstRow="1" w:lastRow="0" w:firstColumn="1" w:lastColumn="0" w:noHBand="0" w:noVBand="1"/>
      </w:tblPr>
      <w:tblGrid>
        <w:gridCol w:w="6154"/>
        <w:gridCol w:w="1261"/>
        <w:gridCol w:w="2214"/>
      </w:tblGrid>
      <w:tr w:rsidR="00692E12" w:rsidRPr="00181122" w14:paraId="073C90F8" w14:textId="77777777" w:rsidTr="00860393">
        <w:tc>
          <w:tcPr>
            <w:tcW w:w="6154" w:type="dxa"/>
          </w:tcPr>
          <w:p w14:paraId="4AB6DCE6" w14:textId="712F17CF" w:rsidR="00692E12" w:rsidRPr="00181122" w:rsidRDefault="00692E12" w:rsidP="002A1BBE">
            <w:pPr>
              <w:rPr>
                <w:b/>
              </w:rPr>
            </w:pPr>
            <w:r w:rsidRPr="00181122">
              <w:rPr>
                <w:b/>
              </w:rPr>
              <w:t>What</w:t>
            </w:r>
          </w:p>
        </w:tc>
        <w:tc>
          <w:tcPr>
            <w:tcW w:w="1261" w:type="dxa"/>
          </w:tcPr>
          <w:p w14:paraId="64454BEE" w14:textId="77777777" w:rsidR="00692E12" w:rsidRPr="00181122" w:rsidRDefault="00692E12" w:rsidP="00927BBB">
            <w:pPr>
              <w:jc w:val="center"/>
              <w:rPr>
                <w:b/>
              </w:rPr>
            </w:pPr>
            <w:r w:rsidRPr="00181122">
              <w:rPr>
                <w:b/>
              </w:rPr>
              <w:t>Who</w:t>
            </w:r>
          </w:p>
        </w:tc>
        <w:tc>
          <w:tcPr>
            <w:tcW w:w="2214" w:type="dxa"/>
          </w:tcPr>
          <w:p w14:paraId="517EC446" w14:textId="77777777" w:rsidR="00692E12" w:rsidRPr="00181122" w:rsidRDefault="00692E12" w:rsidP="00DC387C">
            <w:pPr>
              <w:jc w:val="center"/>
              <w:rPr>
                <w:b/>
              </w:rPr>
            </w:pPr>
            <w:r w:rsidRPr="00181122">
              <w:rPr>
                <w:b/>
              </w:rPr>
              <w:t>When</w:t>
            </w:r>
          </w:p>
        </w:tc>
      </w:tr>
      <w:tr w:rsidR="00860393" w14:paraId="69E0A61F" w14:textId="77777777" w:rsidTr="00860393">
        <w:tc>
          <w:tcPr>
            <w:tcW w:w="6154" w:type="dxa"/>
          </w:tcPr>
          <w:p w14:paraId="7EF24231" w14:textId="3D30AB0C" w:rsidR="00860393" w:rsidRPr="00995EEE" w:rsidRDefault="00995EEE" w:rsidP="00860393">
            <w:pPr>
              <w:jc w:val="both"/>
            </w:pPr>
            <w:r>
              <w:t>Availability confirmed for Pheonix meeting room for the 7</w:t>
            </w:r>
            <w:r w:rsidRPr="00995EEE">
              <w:rPr>
                <w:vertAlign w:val="superscript"/>
              </w:rPr>
              <w:t>th</w:t>
            </w:r>
            <w:r>
              <w:t xml:space="preserve"> of November. </w:t>
            </w:r>
          </w:p>
        </w:tc>
        <w:tc>
          <w:tcPr>
            <w:tcW w:w="1261" w:type="dxa"/>
          </w:tcPr>
          <w:p w14:paraId="2EE253A7" w14:textId="2B26BFB3" w:rsidR="00860393" w:rsidRDefault="00995EEE" w:rsidP="00860393">
            <w:pPr>
              <w:jc w:val="center"/>
            </w:pPr>
            <w:r>
              <w:t>SW</w:t>
            </w:r>
          </w:p>
        </w:tc>
        <w:tc>
          <w:tcPr>
            <w:tcW w:w="2214" w:type="dxa"/>
          </w:tcPr>
          <w:p w14:paraId="3BAFFF44" w14:textId="66D85755" w:rsidR="00860393" w:rsidRDefault="00995EEE" w:rsidP="00860393">
            <w:pPr>
              <w:tabs>
                <w:tab w:val="center" w:pos="868"/>
                <w:tab w:val="right" w:pos="1736"/>
              </w:tabs>
            </w:pPr>
            <w:r>
              <w:t>For 14</w:t>
            </w:r>
            <w:r w:rsidRPr="00995EEE">
              <w:rPr>
                <w:vertAlign w:val="superscript"/>
              </w:rPr>
              <w:t>th</w:t>
            </w:r>
            <w:r>
              <w:t xml:space="preserve"> June </w:t>
            </w:r>
          </w:p>
        </w:tc>
      </w:tr>
      <w:tr w:rsidR="00860393" w14:paraId="37745057" w14:textId="77777777" w:rsidTr="00860393">
        <w:tc>
          <w:tcPr>
            <w:tcW w:w="6154" w:type="dxa"/>
          </w:tcPr>
          <w:p w14:paraId="631145C8" w14:textId="05F31F1C" w:rsidR="00860393" w:rsidRPr="001D0E31" w:rsidRDefault="00995EEE" w:rsidP="00860393">
            <w:pPr>
              <w:jc w:val="both"/>
            </w:pPr>
            <w:r>
              <w:t xml:space="preserve">Dependant of outcome of Pheonix’s availability, check availability of Anderson Strathern to host the conference. </w:t>
            </w:r>
          </w:p>
        </w:tc>
        <w:tc>
          <w:tcPr>
            <w:tcW w:w="1261" w:type="dxa"/>
          </w:tcPr>
          <w:p w14:paraId="28AEE24C" w14:textId="3F1E222E" w:rsidR="00860393" w:rsidRDefault="00995EEE" w:rsidP="00860393">
            <w:pPr>
              <w:jc w:val="center"/>
            </w:pPr>
            <w:r>
              <w:t>JD</w:t>
            </w:r>
          </w:p>
        </w:tc>
        <w:tc>
          <w:tcPr>
            <w:tcW w:w="2214" w:type="dxa"/>
          </w:tcPr>
          <w:p w14:paraId="582C52E0" w14:textId="254027B6" w:rsidR="00860393" w:rsidRDefault="00995EEE" w:rsidP="00860393">
            <w:pPr>
              <w:tabs>
                <w:tab w:val="center" w:pos="868"/>
                <w:tab w:val="right" w:pos="1736"/>
              </w:tabs>
            </w:pPr>
            <w:r>
              <w:t>On going</w:t>
            </w:r>
          </w:p>
        </w:tc>
      </w:tr>
      <w:tr w:rsidR="00860393" w14:paraId="673166D0" w14:textId="77777777" w:rsidTr="00860393">
        <w:tc>
          <w:tcPr>
            <w:tcW w:w="6154" w:type="dxa"/>
          </w:tcPr>
          <w:p w14:paraId="52284647" w14:textId="19E45FDA" w:rsidR="00860393" w:rsidRPr="001D0E31" w:rsidRDefault="00995EEE" w:rsidP="00860393">
            <w:pPr>
              <w:jc w:val="both"/>
            </w:pPr>
            <w:r>
              <w:t>Look at possible solutions to merge networking and conference sub groups to allow fo</w:t>
            </w:r>
            <w:r w:rsidR="000F4688">
              <w:t xml:space="preserve">r increased attendance at each and create an “Event Group”. </w:t>
            </w:r>
          </w:p>
        </w:tc>
        <w:tc>
          <w:tcPr>
            <w:tcW w:w="1261" w:type="dxa"/>
          </w:tcPr>
          <w:p w14:paraId="6E1CEBDB" w14:textId="6EDB4EB7" w:rsidR="00860393" w:rsidRDefault="00995EEE" w:rsidP="00860393">
            <w:pPr>
              <w:jc w:val="center"/>
            </w:pPr>
            <w:r>
              <w:t>JD/AL</w:t>
            </w:r>
          </w:p>
        </w:tc>
        <w:tc>
          <w:tcPr>
            <w:tcW w:w="2214" w:type="dxa"/>
          </w:tcPr>
          <w:p w14:paraId="66911722" w14:textId="4E2E6A47" w:rsidR="00860393" w:rsidRDefault="000F4688" w:rsidP="00860393">
            <w:pPr>
              <w:tabs>
                <w:tab w:val="center" w:pos="868"/>
                <w:tab w:val="right" w:pos="1736"/>
              </w:tabs>
            </w:pPr>
            <w:r>
              <w:t>ASAP</w:t>
            </w:r>
          </w:p>
        </w:tc>
      </w:tr>
      <w:tr w:rsidR="00860393" w14:paraId="3876C829" w14:textId="77777777" w:rsidTr="00860393">
        <w:tc>
          <w:tcPr>
            <w:tcW w:w="6154" w:type="dxa"/>
          </w:tcPr>
          <w:p w14:paraId="536E8416" w14:textId="566F0A07" w:rsidR="00860393" w:rsidRPr="00C5286D" w:rsidRDefault="000F4688" w:rsidP="00860393">
            <w:pPr>
              <w:jc w:val="both"/>
            </w:pPr>
            <w:r>
              <w:t>Complete and send on Work Plan</w:t>
            </w:r>
          </w:p>
        </w:tc>
        <w:tc>
          <w:tcPr>
            <w:tcW w:w="1261" w:type="dxa"/>
          </w:tcPr>
          <w:p w14:paraId="51CE170F" w14:textId="4F4CAD36" w:rsidR="00860393" w:rsidRDefault="000F4688" w:rsidP="00860393">
            <w:pPr>
              <w:jc w:val="center"/>
            </w:pPr>
            <w:r>
              <w:t>RW</w:t>
            </w:r>
          </w:p>
        </w:tc>
        <w:tc>
          <w:tcPr>
            <w:tcW w:w="2214" w:type="dxa"/>
          </w:tcPr>
          <w:p w14:paraId="6A5776D5" w14:textId="59A9DC11" w:rsidR="00860393" w:rsidRDefault="000F4688" w:rsidP="00860393">
            <w:pPr>
              <w:tabs>
                <w:tab w:val="center" w:pos="868"/>
                <w:tab w:val="right" w:pos="1736"/>
              </w:tabs>
            </w:pPr>
            <w:r>
              <w:t xml:space="preserve">On going </w:t>
            </w:r>
          </w:p>
        </w:tc>
      </w:tr>
    </w:tbl>
    <w:p w14:paraId="0897B582" w14:textId="646C69FD" w:rsidR="00096C04" w:rsidRDefault="00096C04" w:rsidP="00096C04">
      <w:pPr>
        <w:spacing w:after="0" w:line="240" w:lineRule="auto"/>
        <w:rPr>
          <w:b/>
        </w:rPr>
      </w:pPr>
    </w:p>
    <w:p w14:paraId="2E2B0BBE" w14:textId="446E4307" w:rsidR="000F4688" w:rsidRDefault="000F4688" w:rsidP="00096C04">
      <w:pPr>
        <w:spacing w:after="0" w:line="240" w:lineRule="auto"/>
        <w:rPr>
          <w:b/>
        </w:rPr>
      </w:pPr>
    </w:p>
    <w:p w14:paraId="550E3690" w14:textId="77777777" w:rsidR="000F4688" w:rsidRDefault="000F4688" w:rsidP="00096C04">
      <w:pPr>
        <w:spacing w:after="0" w:line="240" w:lineRule="auto"/>
        <w:rPr>
          <w:b/>
        </w:rPr>
      </w:pPr>
    </w:p>
    <w:p w14:paraId="5B42A4D1" w14:textId="77777777" w:rsidR="00995EEE" w:rsidRDefault="00995EEE" w:rsidP="00096C04">
      <w:pPr>
        <w:spacing w:after="0" w:line="240" w:lineRule="auto"/>
        <w:rPr>
          <w:b/>
        </w:rPr>
      </w:pPr>
    </w:p>
    <w:p w14:paraId="7124ED33" w14:textId="33D1C8FD" w:rsidR="001B7C4D" w:rsidRDefault="00C13684" w:rsidP="00096C04">
      <w:pPr>
        <w:spacing w:after="0" w:line="240" w:lineRule="auto"/>
        <w:rPr>
          <w:b/>
        </w:rPr>
      </w:pPr>
      <w:r>
        <w:rPr>
          <w:b/>
        </w:rPr>
        <w:lastRenderedPageBreak/>
        <w:t xml:space="preserve">Meeting </w:t>
      </w:r>
      <w:r w:rsidR="00265EDB">
        <w:rPr>
          <w:b/>
        </w:rPr>
        <w:t xml:space="preserve">Minutes: </w:t>
      </w:r>
    </w:p>
    <w:p w14:paraId="0D2F3BCC" w14:textId="77777777" w:rsidR="00096C04" w:rsidRPr="00975AAB" w:rsidRDefault="00096C04" w:rsidP="00096C04">
      <w:pPr>
        <w:spacing w:after="0" w:line="240" w:lineRule="auto"/>
        <w:rPr>
          <w:b/>
        </w:rPr>
      </w:pPr>
    </w:p>
    <w:tbl>
      <w:tblPr>
        <w:tblStyle w:val="TableGrid"/>
        <w:tblW w:w="0" w:type="auto"/>
        <w:tblLook w:val="04A0" w:firstRow="1" w:lastRow="0" w:firstColumn="1" w:lastColumn="0" w:noHBand="0" w:noVBand="1"/>
      </w:tblPr>
      <w:tblGrid>
        <w:gridCol w:w="1225"/>
        <w:gridCol w:w="8404"/>
      </w:tblGrid>
      <w:tr w:rsidR="001B7C4D" w14:paraId="4CD43A0B" w14:textId="77777777" w:rsidTr="00975AAB">
        <w:tc>
          <w:tcPr>
            <w:tcW w:w="1225" w:type="dxa"/>
          </w:tcPr>
          <w:p w14:paraId="59928E42" w14:textId="2AB92D02" w:rsidR="001B7C4D" w:rsidRPr="00A078FC" w:rsidRDefault="001B7C4D" w:rsidP="00265EDB">
            <w:pPr>
              <w:jc w:val="both"/>
              <w:rPr>
                <w:b/>
              </w:rPr>
            </w:pPr>
            <w:r w:rsidRPr="00A078FC">
              <w:rPr>
                <w:b/>
              </w:rPr>
              <w:t>Item 1</w:t>
            </w:r>
          </w:p>
        </w:tc>
        <w:tc>
          <w:tcPr>
            <w:tcW w:w="8404" w:type="dxa"/>
          </w:tcPr>
          <w:p w14:paraId="66685D68" w14:textId="107299EE" w:rsidR="001B7C4D" w:rsidRPr="00A078FC" w:rsidRDefault="001B7C4D" w:rsidP="00133F31">
            <w:pPr>
              <w:jc w:val="both"/>
              <w:rPr>
                <w:b/>
              </w:rPr>
            </w:pPr>
            <w:r w:rsidRPr="00A078FC">
              <w:rPr>
                <w:b/>
              </w:rPr>
              <w:t xml:space="preserve">Welcome </w:t>
            </w:r>
          </w:p>
        </w:tc>
      </w:tr>
      <w:tr w:rsidR="001B7C4D" w14:paraId="01564937" w14:textId="77777777" w:rsidTr="00975AAB">
        <w:tc>
          <w:tcPr>
            <w:tcW w:w="1225" w:type="dxa"/>
          </w:tcPr>
          <w:p w14:paraId="05BBB267" w14:textId="77777777" w:rsidR="001B7C4D" w:rsidRDefault="001B7C4D" w:rsidP="00265EDB">
            <w:pPr>
              <w:jc w:val="both"/>
            </w:pPr>
          </w:p>
        </w:tc>
        <w:tc>
          <w:tcPr>
            <w:tcW w:w="8404" w:type="dxa"/>
          </w:tcPr>
          <w:p w14:paraId="0CB7C6E7" w14:textId="526445E4" w:rsidR="00067690" w:rsidRDefault="000F4688" w:rsidP="000F4688">
            <w:r>
              <w:t>Robin Westacott (RW</w:t>
            </w:r>
            <w:r w:rsidR="00813CC6">
              <w:t xml:space="preserve">) opens up and </w:t>
            </w:r>
            <w:r w:rsidR="00813CC6" w:rsidRPr="00B1434C">
              <w:t>chairs the meeting. Group</w:t>
            </w:r>
            <w:r w:rsidR="00B1434C" w:rsidRPr="00B1434C">
              <w:t xml:space="preserve"> introduce themselves to two </w:t>
            </w:r>
            <w:r>
              <w:t>Kate Kelman (KK) from Capital City Partnership</w:t>
            </w:r>
            <w:r w:rsidR="00FE2A95">
              <w:t xml:space="preserve">. </w:t>
            </w:r>
          </w:p>
        </w:tc>
      </w:tr>
      <w:tr w:rsidR="001B7C4D" w14:paraId="00458290" w14:textId="77777777" w:rsidTr="00975AAB">
        <w:tc>
          <w:tcPr>
            <w:tcW w:w="1225" w:type="dxa"/>
          </w:tcPr>
          <w:p w14:paraId="04C39AFB" w14:textId="32433745" w:rsidR="001B7C4D" w:rsidRPr="00A078FC" w:rsidRDefault="001B7C4D" w:rsidP="00265EDB">
            <w:pPr>
              <w:jc w:val="both"/>
              <w:rPr>
                <w:b/>
              </w:rPr>
            </w:pPr>
            <w:r w:rsidRPr="00A078FC">
              <w:rPr>
                <w:b/>
              </w:rPr>
              <w:t>Item 2</w:t>
            </w:r>
          </w:p>
        </w:tc>
        <w:tc>
          <w:tcPr>
            <w:tcW w:w="8404" w:type="dxa"/>
          </w:tcPr>
          <w:p w14:paraId="5F1D40A2" w14:textId="2EFD4BEE" w:rsidR="001B7C4D" w:rsidRPr="00133F31" w:rsidRDefault="00133F31" w:rsidP="00265EDB">
            <w:pPr>
              <w:jc w:val="both"/>
              <w:rPr>
                <w:b/>
              </w:rPr>
            </w:pPr>
            <w:r w:rsidRPr="00133F31">
              <w:rPr>
                <w:b/>
              </w:rPr>
              <w:t xml:space="preserve">Notes from previous minutes </w:t>
            </w:r>
          </w:p>
        </w:tc>
      </w:tr>
      <w:tr w:rsidR="00B65EA8" w14:paraId="3975A348" w14:textId="77777777" w:rsidTr="00975AAB">
        <w:tc>
          <w:tcPr>
            <w:tcW w:w="1225" w:type="dxa"/>
          </w:tcPr>
          <w:p w14:paraId="38301CD9" w14:textId="77777777" w:rsidR="00B65EA8" w:rsidRPr="00A078FC" w:rsidRDefault="00B65EA8" w:rsidP="00265EDB">
            <w:pPr>
              <w:jc w:val="both"/>
              <w:rPr>
                <w:b/>
              </w:rPr>
            </w:pPr>
          </w:p>
        </w:tc>
        <w:tc>
          <w:tcPr>
            <w:tcW w:w="8404" w:type="dxa"/>
          </w:tcPr>
          <w:p w14:paraId="7B2F84EE" w14:textId="0128CABA" w:rsidR="005B4F80" w:rsidRDefault="00AB3851" w:rsidP="00AB3851">
            <w:pPr>
              <w:pStyle w:val="ListParagraph"/>
              <w:numPr>
                <w:ilvl w:val="0"/>
                <w:numId w:val="27"/>
              </w:numPr>
            </w:pPr>
            <w:r>
              <w:t>Minutes of last meeting are accepted as a tru</w:t>
            </w:r>
            <w:r w:rsidR="00A72360">
              <w:t xml:space="preserve">e record of what was discussed by Ailsa Sutherland (AS). </w:t>
            </w:r>
          </w:p>
          <w:p w14:paraId="62CEF97C" w14:textId="0E03F27F" w:rsidR="006715C0" w:rsidRPr="001D0E31" w:rsidRDefault="005F343A" w:rsidP="006715C0">
            <w:pPr>
              <w:pStyle w:val="ListParagraph"/>
              <w:numPr>
                <w:ilvl w:val="1"/>
                <w:numId w:val="27"/>
              </w:numPr>
            </w:pPr>
            <w:r>
              <w:t>Kat</w:t>
            </w:r>
            <w:r w:rsidR="00E43607">
              <w:t>i</w:t>
            </w:r>
            <w:r>
              <w:t xml:space="preserve">e Kellin, who is part of Phil Ford’s team will be speaking to the group at the next meeting. </w:t>
            </w:r>
          </w:p>
          <w:p w14:paraId="28CF72D8" w14:textId="0E809FFB" w:rsidR="00467A0C" w:rsidRPr="00E451A7" w:rsidRDefault="001A2AE6" w:rsidP="001A2AE6">
            <w:pPr>
              <w:pStyle w:val="ListParagraph"/>
              <w:numPr>
                <w:ilvl w:val="1"/>
                <w:numId w:val="27"/>
              </w:numPr>
            </w:pPr>
            <w:r>
              <w:t xml:space="preserve">Joanne Davidson (JD), gave update on progress of the two sub groups and flagged the concern of the conference group that we might be duplicating work but both groups are progressing with decision making. </w:t>
            </w:r>
            <w:r w:rsidR="006715C0">
              <w:t xml:space="preserve"> </w:t>
            </w:r>
          </w:p>
        </w:tc>
      </w:tr>
      <w:tr w:rsidR="001B7C4D" w14:paraId="6E15B427" w14:textId="77777777" w:rsidTr="00975AAB">
        <w:tc>
          <w:tcPr>
            <w:tcW w:w="1225" w:type="dxa"/>
          </w:tcPr>
          <w:p w14:paraId="49B6306B" w14:textId="37F2A9F0" w:rsidR="001B7C4D" w:rsidRPr="00A078FC" w:rsidRDefault="00A15B40" w:rsidP="00265EDB">
            <w:pPr>
              <w:jc w:val="both"/>
              <w:rPr>
                <w:b/>
              </w:rPr>
            </w:pPr>
            <w:r>
              <w:rPr>
                <w:b/>
              </w:rPr>
              <w:t>Item 3</w:t>
            </w:r>
          </w:p>
        </w:tc>
        <w:tc>
          <w:tcPr>
            <w:tcW w:w="8404" w:type="dxa"/>
          </w:tcPr>
          <w:p w14:paraId="6D6C4811" w14:textId="1364A1EA" w:rsidR="001B7C4D" w:rsidRPr="006715C0" w:rsidRDefault="00A72360" w:rsidP="006715C0">
            <w:pPr>
              <w:rPr>
                <w:rFonts w:cs="Arial"/>
                <w:b/>
                <w:bCs/>
              </w:rPr>
            </w:pPr>
            <w:r>
              <w:rPr>
                <w:rFonts w:cs="Arial"/>
                <w:b/>
                <w:bCs/>
              </w:rPr>
              <w:t xml:space="preserve">Capital City Partners: Introductory talk and discussion </w:t>
            </w:r>
          </w:p>
        </w:tc>
      </w:tr>
      <w:tr w:rsidR="00A078FC" w14:paraId="666E5D0D" w14:textId="77777777" w:rsidTr="00975AAB">
        <w:tc>
          <w:tcPr>
            <w:tcW w:w="1225" w:type="dxa"/>
          </w:tcPr>
          <w:p w14:paraId="414A1FDC" w14:textId="77777777" w:rsidR="00A078FC" w:rsidRPr="00A078FC" w:rsidRDefault="00A078FC" w:rsidP="00265EDB">
            <w:pPr>
              <w:jc w:val="both"/>
              <w:rPr>
                <w:b/>
              </w:rPr>
            </w:pPr>
          </w:p>
        </w:tc>
        <w:tc>
          <w:tcPr>
            <w:tcW w:w="8404" w:type="dxa"/>
          </w:tcPr>
          <w:p w14:paraId="0CBC2C1D" w14:textId="77777777" w:rsidR="00E43607" w:rsidRPr="00E43607" w:rsidRDefault="00E43607" w:rsidP="00E43607">
            <w:pPr>
              <w:pStyle w:val="ListParagraph"/>
              <w:numPr>
                <w:ilvl w:val="0"/>
                <w:numId w:val="27"/>
              </w:numPr>
            </w:pPr>
            <w:r w:rsidRPr="00E43607">
              <w:t xml:space="preserve">AS explains 2 sub-groups have been created for 2 Inspiring Talent events, looking for speakers for the events/ideas on what the focus of both events will be. </w:t>
            </w:r>
          </w:p>
          <w:p w14:paraId="05BE2661" w14:textId="77777777" w:rsidR="00B66847" w:rsidRDefault="00E43607" w:rsidP="00E43607">
            <w:pPr>
              <w:jc w:val="both"/>
              <w:rPr>
                <w:b/>
              </w:rPr>
            </w:pPr>
            <w:r>
              <w:rPr>
                <w:b/>
              </w:rPr>
              <w:t>Capital City Partners</w:t>
            </w:r>
          </w:p>
          <w:p w14:paraId="763B6975" w14:textId="77777777" w:rsidR="00E43607" w:rsidRPr="00E43607" w:rsidRDefault="00E43607" w:rsidP="00E43607">
            <w:pPr>
              <w:pStyle w:val="ListParagraph"/>
              <w:numPr>
                <w:ilvl w:val="0"/>
                <w:numId w:val="27"/>
              </w:numPr>
              <w:jc w:val="both"/>
            </w:pPr>
            <w:r w:rsidRPr="00E43607">
              <w:rPr>
                <w:bCs/>
              </w:rPr>
              <w:t>Kate Kelman</w:t>
            </w:r>
            <w:r>
              <w:rPr>
                <w:bCs/>
              </w:rPr>
              <w:t xml:space="preserve"> (KK)</w:t>
            </w:r>
            <w:r w:rsidRPr="00E43607">
              <w:rPr>
                <w:bCs/>
              </w:rPr>
              <w:t>, Strategy &amp; Performance for Capital City Partners</w:t>
            </w:r>
            <w:r>
              <w:rPr>
                <w:bCs/>
              </w:rPr>
              <w:t xml:space="preserve"> presented to the group. </w:t>
            </w:r>
          </w:p>
          <w:p w14:paraId="270A13F1" w14:textId="77777777" w:rsidR="00E43607" w:rsidRDefault="00E43607" w:rsidP="001354CF">
            <w:pPr>
              <w:pStyle w:val="ListParagraph"/>
              <w:numPr>
                <w:ilvl w:val="0"/>
                <w:numId w:val="27"/>
              </w:numPr>
              <w:jc w:val="both"/>
            </w:pPr>
            <w:r w:rsidRPr="00E43607">
              <w:t>Capital City Partnership is the delivery body for the city’s employa</w:t>
            </w:r>
            <w:r w:rsidR="001354CF">
              <w:t xml:space="preserve">bility strategy and programme. Their </w:t>
            </w:r>
            <w:r w:rsidRPr="00E43607">
              <w:t>key tasks are to advise, support and develop the city’s Jobs Strategy, and to contract, performance manage and improve outcomes from funded employability services.</w:t>
            </w:r>
          </w:p>
          <w:p w14:paraId="423AA83B" w14:textId="77777777" w:rsidR="001354CF" w:rsidRDefault="001354CF" w:rsidP="001354CF">
            <w:pPr>
              <w:pStyle w:val="ListParagraph"/>
              <w:numPr>
                <w:ilvl w:val="0"/>
                <w:numId w:val="27"/>
              </w:numPr>
              <w:jc w:val="both"/>
            </w:pPr>
            <w:r>
              <w:t xml:space="preserve">82,000 people in Edinburgh are in relative property. 39% of child poverty in Edinburgh is situated in Sighthill/Gorgie area. This demonstrates that there is a clear split in the city between those in and out of poverty. </w:t>
            </w:r>
          </w:p>
          <w:p w14:paraId="5BE53053" w14:textId="77777777" w:rsidR="001354CF" w:rsidRDefault="001354CF" w:rsidP="001354CF">
            <w:pPr>
              <w:pStyle w:val="ListParagraph"/>
              <w:numPr>
                <w:ilvl w:val="0"/>
                <w:numId w:val="27"/>
              </w:numPr>
              <w:jc w:val="both"/>
            </w:pPr>
            <w:r>
              <w:t xml:space="preserve">There is high employment rates in Edinburgh with unemployment rates in Edinburgh sitting at 1.6%, compared to the Scottish average of 3.1%. A specific employment issue in Edinburgh is permanent employment opportunities.  This rate in Edinburgh sits at 10% compared to 6.7% in cities such as London, Glasgow and Birmingham. The group asked for clarification on the classification of non-permanent employment and this was given as anyone who doesn’t know where they will be in a year. </w:t>
            </w:r>
          </w:p>
          <w:p w14:paraId="14EF3949" w14:textId="77777777" w:rsidR="007816C6" w:rsidRDefault="007816C6" w:rsidP="001354CF">
            <w:pPr>
              <w:pStyle w:val="ListParagraph"/>
              <w:numPr>
                <w:ilvl w:val="0"/>
                <w:numId w:val="27"/>
              </w:numPr>
              <w:jc w:val="both"/>
            </w:pPr>
            <w:r>
              <w:t>Another employment issue highlighted in Edinbu</w:t>
            </w:r>
            <w:r w:rsidR="00701A57">
              <w:t xml:space="preserve">rgh was that the employment structure in Edinburgh is an hourglass shape meaning there are very few middle management/supervisor type roles which results in a limit in opportunities for those in the lower roles to progress. </w:t>
            </w:r>
          </w:p>
          <w:p w14:paraId="48D5CF11" w14:textId="5DCAB742" w:rsidR="00701A57" w:rsidRPr="00BC6599" w:rsidRDefault="002319D6" w:rsidP="001354CF">
            <w:pPr>
              <w:pStyle w:val="ListParagraph"/>
              <w:numPr>
                <w:ilvl w:val="0"/>
                <w:numId w:val="27"/>
              </w:numPr>
              <w:jc w:val="both"/>
            </w:pPr>
            <w:r w:rsidRPr="00BC6599">
              <w:t xml:space="preserve">Stage 1: referral, engagement and assessment. Stage 2: Needs assessment and barrier removal. Stage 3: Vocational activity Stage 4: Employer engagement and job matching </w:t>
            </w:r>
            <w:r w:rsidR="00BC6599" w:rsidRPr="00BC6599">
              <w:t xml:space="preserve">Stage 5: in-work support and aftercare. </w:t>
            </w:r>
          </w:p>
          <w:p w14:paraId="0832649A" w14:textId="12A129C2" w:rsidR="00701A57" w:rsidRDefault="00701A57" w:rsidP="001354CF">
            <w:pPr>
              <w:pStyle w:val="ListParagraph"/>
              <w:numPr>
                <w:ilvl w:val="0"/>
                <w:numId w:val="27"/>
              </w:numPr>
              <w:jc w:val="both"/>
            </w:pPr>
            <w:r w:rsidRPr="00BC6599">
              <w:t xml:space="preserve">Provisions shared between the stages are as follows: </w:t>
            </w:r>
          </w:p>
          <w:p w14:paraId="4BCBA02A" w14:textId="7C94B156" w:rsidR="00BC6599" w:rsidRDefault="00BC6599" w:rsidP="00BC6599">
            <w:pPr>
              <w:pStyle w:val="ListParagraph"/>
              <w:ind w:left="360"/>
              <w:jc w:val="both"/>
            </w:pPr>
            <w:r>
              <w:t xml:space="preserve">Stage 1 provision 23% </w:t>
            </w:r>
          </w:p>
          <w:p w14:paraId="6F643B62" w14:textId="25762DE7" w:rsidR="00BC6599" w:rsidRDefault="00BC6599" w:rsidP="00BC6599">
            <w:pPr>
              <w:pStyle w:val="ListParagraph"/>
              <w:ind w:left="360"/>
              <w:jc w:val="both"/>
            </w:pPr>
            <w:r>
              <w:t>Stage 2 provision 18%</w:t>
            </w:r>
          </w:p>
          <w:p w14:paraId="41CBC25F" w14:textId="5109308F" w:rsidR="00BC6599" w:rsidRDefault="00BC6599" w:rsidP="00BC6599">
            <w:pPr>
              <w:pStyle w:val="ListParagraph"/>
              <w:ind w:left="360"/>
              <w:jc w:val="both"/>
            </w:pPr>
            <w:r>
              <w:t>Stage 3 provision 9%</w:t>
            </w:r>
          </w:p>
          <w:p w14:paraId="6898AFFE" w14:textId="7866E7EC" w:rsidR="00BC6599" w:rsidRDefault="00BC6599" w:rsidP="00BC6599">
            <w:pPr>
              <w:pStyle w:val="ListParagraph"/>
              <w:ind w:left="360"/>
              <w:jc w:val="both"/>
            </w:pPr>
            <w:r>
              <w:t>Stage 4 provision 27%</w:t>
            </w:r>
          </w:p>
          <w:p w14:paraId="1EDC3070" w14:textId="38A1E563" w:rsidR="00BC6599" w:rsidRPr="00BC6599" w:rsidRDefault="00BC6599" w:rsidP="00BC6599">
            <w:pPr>
              <w:pStyle w:val="ListParagraph"/>
              <w:ind w:left="360"/>
              <w:jc w:val="both"/>
            </w:pPr>
            <w:r>
              <w:t>Stage 5 provision 23%</w:t>
            </w:r>
          </w:p>
          <w:p w14:paraId="401AB37F" w14:textId="77777777" w:rsidR="00701A57" w:rsidRDefault="00701A57" w:rsidP="00701A57">
            <w:pPr>
              <w:pStyle w:val="ListParagraph"/>
              <w:numPr>
                <w:ilvl w:val="0"/>
                <w:numId w:val="27"/>
              </w:numPr>
              <w:jc w:val="both"/>
            </w:pPr>
            <w:r>
              <w:t xml:space="preserve">New service introduced in April 2019 is “Next Step”. This works to tackle the working poverty issue in Edinburgh. She has requested the help of the group to promote the programme to businesses. </w:t>
            </w:r>
          </w:p>
          <w:p w14:paraId="53B51EE0" w14:textId="3788D5E3" w:rsidR="00701A57" w:rsidRPr="00E43607" w:rsidRDefault="00701A57" w:rsidP="00701A57">
            <w:pPr>
              <w:pStyle w:val="ListParagraph"/>
              <w:numPr>
                <w:ilvl w:val="0"/>
                <w:numId w:val="27"/>
              </w:numPr>
              <w:jc w:val="both"/>
            </w:pPr>
            <w:r>
              <w:t xml:space="preserve">AS rounded off the presentation by explaining a key focus of the group is to highlight “underrepresented groups” in the workplace and recognised key ties with </w:t>
            </w:r>
            <w:r w:rsidRPr="00701A57">
              <w:t>Capital City Partners</w:t>
            </w:r>
            <w:r>
              <w:t xml:space="preserve">. </w:t>
            </w:r>
          </w:p>
        </w:tc>
      </w:tr>
      <w:tr w:rsidR="001B7C4D" w14:paraId="1F9678C2" w14:textId="77777777" w:rsidTr="00975AAB">
        <w:tc>
          <w:tcPr>
            <w:tcW w:w="1225" w:type="dxa"/>
          </w:tcPr>
          <w:p w14:paraId="51AD1F4C" w14:textId="714EC700" w:rsidR="001B7C4D" w:rsidRPr="00A078FC" w:rsidRDefault="004205C6" w:rsidP="00265EDB">
            <w:pPr>
              <w:jc w:val="both"/>
              <w:rPr>
                <w:b/>
              </w:rPr>
            </w:pPr>
            <w:r>
              <w:rPr>
                <w:b/>
              </w:rPr>
              <w:t>Item 4</w:t>
            </w:r>
          </w:p>
        </w:tc>
        <w:tc>
          <w:tcPr>
            <w:tcW w:w="8404" w:type="dxa"/>
          </w:tcPr>
          <w:p w14:paraId="79968C6F" w14:textId="077DC398" w:rsidR="00DB3A1F" w:rsidRPr="00E04267" w:rsidRDefault="00965EF1" w:rsidP="00265EDB">
            <w:pPr>
              <w:jc w:val="both"/>
              <w:rPr>
                <w:b/>
              </w:rPr>
            </w:pPr>
            <w:r>
              <w:rPr>
                <w:rFonts w:cs="Arial"/>
                <w:b/>
                <w:bCs/>
              </w:rPr>
              <w:t>Year ahead</w:t>
            </w:r>
            <w:r w:rsidR="00701A57">
              <w:rPr>
                <w:rFonts w:cs="Arial"/>
                <w:b/>
                <w:bCs/>
              </w:rPr>
              <w:t>- Progression on Work Plan and Discussion on Upcoming Events</w:t>
            </w:r>
          </w:p>
        </w:tc>
      </w:tr>
      <w:tr w:rsidR="00133F31" w14:paraId="435632A2" w14:textId="77777777" w:rsidTr="00975AAB">
        <w:tc>
          <w:tcPr>
            <w:tcW w:w="1225" w:type="dxa"/>
          </w:tcPr>
          <w:p w14:paraId="64E68EB3" w14:textId="77777777" w:rsidR="00133F31" w:rsidRPr="00A078FC" w:rsidRDefault="00133F31" w:rsidP="00265EDB">
            <w:pPr>
              <w:jc w:val="both"/>
              <w:rPr>
                <w:b/>
              </w:rPr>
            </w:pPr>
          </w:p>
        </w:tc>
        <w:tc>
          <w:tcPr>
            <w:tcW w:w="8404" w:type="dxa"/>
          </w:tcPr>
          <w:p w14:paraId="7BFD669B" w14:textId="7EC551EA" w:rsidR="0073776F" w:rsidRPr="00E60C75" w:rsidRDefault="0073776F" w:rsidP="0073776F">
            <w:pPr>
              <w:pStyle w:val="ListParagraph"/>
              <w:numPr>
                <w:ilvl w:val="0"/>
                <w:numId w:val="30"/>
              </w:numPr>
              <w:jc w:val="both"/>
            </w:pPr>
          </w:p>
        </w:tc>
      </w:tr>
      <w:tr w:rsidR="00D14653" w14:paraId="30F713C4" w14:textId="77777777" w:rsidTr="00975AAB">
        <w:tc>
          <w:tcPr>
            <w:tcW w:w="1225" w:type="dxa"/>
          </w:tcPr>
          <w:p w14:paraId="3DC5F982" w14:textId="4A9FE4C2" w:rsidR="00D14653" w:rsidRDefault="008458D6" w:rsidP="00265EDB">
            <w:pPr>
              <w:jc w:val="both"/>
              <w:rPr>
                <w:b/>
              </w:rPr>
            </w:pPr>
            <w:r>
              <w:rPr>
                <w:b/>
              </w:rPr>
              <w:t>Item 5</w:t>
            </w:r>
          </w:p>
        </w:tc>
        <w:tc>
          <w:tcPr>
            <w:tcW w:w="8404" w:type="dxa"/>
          </w:tcPr>
          <w:p w14:paraId="6F01BE86" w14:textId="432E36B5" w:rsidR="00D14653" w:rsidRDefault="00D14653" w:rsidP="00861701">
            <w:pPr>
              <w:jc w:val="both"/>
              <w:rPr>
                <w:b/>
              </w:rPr>
            </w:pPr>
            <w:r>
              <w:rPr>
                <w:b/>
              </w:rPr>
              <w:t>AOB</w:t>
            </w:r>
          </w:p>
        </w:tc>
      </w:tr>
      <w:tr w:rsidR="00D14653" w14:paraId="67AFF466" w14:textId="77777777" w:rsidTr="00975AAB">
        <w:tc>
          <w:tcPr>
            <w:tcW w:w="1225" w:type="dxa"/>
          </w:tcPr>
          <w:p w14:paraId="7386FC1E" w14:textId="77777777" w:rsidR="00D14653" w:rsidRDefault="00D14653" w:rsidP="00265EDB">
            <w:pPr>
              <w:jc w:val="both"/>
              <w:rPr>
                <w:b/>
              </w:rPr>
            </w:pPr>
          </w:p>
        </w:tc>
        <w:tc>
          <w:tcPr>
            <w:tcW w:w="8404" w:type="dxa"/>
          </w:tcPr>
          <w:p w14:paraId="1C82F9A5" w14:textId="246E2AFE" w:rsidR="0098369D" w:rsidRPr="00A73924" w:rsidRDefault="008458D6" w:rsidP="001D0E31">
            <w:pPr>
              <w:pStyle w:val="ListParagraph"/>
              <w:numPr>
                <w:ilvl w:val="0"/>
                <w:numId w:val="24"/>
              </w:numPr>
              <w:jc w:val="both"/>
            </w:pPr>
            <w:r>
              <w:t xml:space="preserve">No other business. </w:t>
            </w:r>
          </w:p>
        </w:tc>
      </w:tr>
      <w:tr w:rsidR="00B65EA8" w14:paraId="26D62F9F" w14:textId="77777777" w:rsidTr="00975AAB">
        <w:tc>
          <w:tcPr>
            <w:tcW w:w="1225" w:type="dxa"/>
          </w:tcPr>
          <w:p w14:paraId="1A180FC3" w14:textId="309560A6" w:rsidR="00B65EA8" w:rsidRPr="00A078FC" w:rsidRDefault="00B65EA8" w:rsidP="00265EDB">
            <w:pPr>
              <w:jc w:val="both"/>
              <w:rPr>
                <w:b/>
              </w:rPr>
            </w:pPr>
            <w:r>
              <w:rPr>
                <w:b/>
              </w:rPr>
              <w:t>Item 7</w:t>
            </w:r>
          </w:p>
        </w:tc>
        <w:tc>
          <w:tcPr>
            <w:tcW w:w="8404" w:type="dxa"/>
          </w:tcPr>
          <w:p w14:paraId="282176C5" w14:textId="47D49AF7" w:rsidR="00B65EA8" w:rsidRPr="008458D6" w:rsidRDefault="008458D6" w:rsidP="008458D6">
            <w:pPr>
              <w:jc w:val="both"/>
              <w:rPr>
                <w:b/>
              </w:rPr>
            </w:pPr>
            <w:r>
              <w:rPr>
                <w:b/>
              </w:rPr>
              <w:t>Close</w:t>
            </w:r>
          </w:p>
        </w:tc>
      </w:tr>
    </w:tbl>
    <w:p w14:paraId="6C6AD286" w14:textId="77777777" w:rsidR="001B7C4D" w:rsidRPr="00441ED0" w:rsidRDefault="001B7C4D" w:rsidP="00067690">
      <w:pPr>
        <w:spacing w:after="0" w:line="240" w:lineRule="auto"/>
        <w:jc w:val="both"/>
      </w:pPr>
    </w:p>
    <w:sectPr w:rsidR="001B7C4D" w:rsidRPr="00441ED0" w:rsidSect="005749BD">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DAD"/>
    <w:multiLevelType w:val="hybridMultilevel"/>
    <w:tmpl w:val="5ED6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3B3EB0"/>
    <w:multiLevelType w:val="hybridMultilevel"/>
    <w:tmpl w:val="260603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34FA6"/>
    <w:multiLevelType w:val="hybridMultilevel"/>
    <w:tmpl w:val="B8B6D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32685"/>
    <w:multiLevelType w:val="hybridMultilevel"/>
    <w:tmpl w:val="D5A4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946DCC"/>
    <w:multiLevelType w:val="hybridMultilevel"/>
    <w:tmpl w:val="7A70B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6F4ACC"/>
    <w:multiLevelType w:val="hybridMultilevel"/>
    <w:tmpl w:val="8256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E6E39"/>
    <w:multiLevelType w:val="hybridMultilevel"/>
    <w:tmpl w:val="BF78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06DA9"/>
    <w:multiLevelType w:val="hybridMultilevel"/>
    <w:tmpl w:val="A6BE44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453B7"/>
    <w:multiLevelType w:val="hybridMultilevel"/>
    <w:tmpl w:val="AB5E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422E"/>
    <w:multiLevelType w:val="hybridMultilevel"/>
    <w:tmpl w:val="84DC60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3C0DA1"/>
    <w:multiLevelType w:val="hybridMultilevel"/>
    <w:tmpl w:val="37947580"/>
    <w:lvl w:ilvl="0" w:tplc="78560D8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305D9"/>
    <w:multiLevelType w:val="hybridMultilevel"/>
    <w:tmpl w:val="36DCFC46"/>
    <w:lvl w:ilvl="0" w:tplc="5C604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20339"/>
    <w:multiLevelType w:val="hybridMultilevel"/>
    <w:tmpl w:val="599ADB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787691"/>
    <w:multiLevelType w:val="hybridMultilevel"/>
    <w:tmpl w:val="D1146E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59001A"/>
    <w:multiLevelType w:val="hybridMultilevel"/>
    <w:tmpl w:val="CE820D20"/>
    <w:lvl w:ilvl="0" w:tplc="31E816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B5283"/>
    <w:multiLevelType w:val="hybridMultilevel"/>
    <w:tmpl w:val="397E22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B248BA"/>
    <w:multiLevelType w:val="hybridMultilevel"/>
    <w:tmpl w:val="81E47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C81B4A"/>
    <w:multiLevelType w:val="hybridMultilevel"/>
    <w:tmpl w:val="38D2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0007B7"/>
    <w:multiLevelType w:val="hybridMultilevel"/>
    <w:tmpl w:val="2EA014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B71B69"/>
    <w:multiLevelType w:val="hybridMultilevel"/>
    <w:tmpl w:val="9D2C0D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B47990"/>
    <w:multiLevelType w:val="hybridMultilevel"/>
    <w:tmpl w:val="C4348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F7FED"/>
    <w:multiLevelType w:val="hybridMultilevel"/>
    <w:tmpl w:val="15C8F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2C27E8"/>
    <w:multiLevelType w:val="hybridMultilevel"/>
    <w:tmpl w:val="26B2DE50"/>
    <w:lvl w:ilvl="0" w:tplc="F8F6A5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2553E"/>
    <w:multiLevelType w:val="hybridMultilevel"/>
    <w:tmpl w:val="20D6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E1ECF"/>
    <w:multiLevelType w:val="hybridMultilevel"/>
    <w:tmpl w:val="401E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30808"/>
    <w:multiLevelType w:val="hybridMultilevel"/>
    <w:tmpl w:val="8BDC01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A5376F"/>
    <w:multiLevelType w:val="hybridMultilevel"/>
    <w:tmpl w:val="6F1C00CE"/>
    <w:lvl w:ilvl="0" w:tplc="0A1AE4FE">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66C87"/>
    <w:multiLevelType w:val="hybridMultilevel"/>
    <w:tmpl w:val="74E6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40CE5"/>
    <w:multiLevelType w:val="hybridMultilevel"/>
    <w:tmpl w:val="8F4C0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6"/>
  </w:num>
  <w:num w:numId="4">
    <w:abstractNumId w:val="24"/>
  </w:num>
  <w:num w:numId="5">
    <w:abstractNumId w:val="14"/>
  </w:num>
  <w:num w:numId="6">
    <w:abstractNumId w:val="23"/>
  </w:num>
  <w:num w:numId="7">
    <w:abstractNumId w:val="5"/>
  </w:num>
  <w:num w:numId="8">
    <w:abstractNumId w:val="20"/>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27"/>
  </w:num>
  <w:num w:numId="14">
    <w:abstractNumId w:val="8"/>
  </w:num>
  <w:num w:numId="15">
    <w:abstractNumId w:val="15"/>
  </w:num>
  <w:num w:numId="16">
    <w:abstractNumId w:val="12"/>
  </w:num>
  <w:num w:numId="17">
    <w:abstractNumId w:val="28"/>
  </w:num>
  <w:num w:numId="18">
    <w:abstractNumId w:val="13"/>
  </w:num>
  <w:num w:numId="19">
    <w:abstractNumId w:val="1"/>
  </w:num>
  <w:num w:numId="20">
    <w:abstractNumId w:val="7"/>
  </w:num>
  <w:num w:numId="21">
    <w:abstractNumId w:val="25"/>
  </w:num>
  <w:num w:numId="22">
    <w:abstractNumId w:val="16"/>
  </w:num>
  <w:num w:numId="23">
    <w:abstractNumId w:val="17"/>
  </w:num>
  <w:num w:numId="24">
    <w:abstractNumId w:val="2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2"/>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C6"/>
    <w:rsid w:val="0003444C"/>
    <w:rsid w:val="00034872"/>
    <w:rsid w:val="00063676"/>
    <w:rsid w:val="00067690"/>
    <w:rsid w:val="0007071A"/>
    <w:rsid w:val="00070B83"/>
    <w:rsid w:val="0007543C"/>
    <w:rsid w:val="000773E9"/>
    <w:rsid w:val="00083732"/>
    <w:rsid w:val="00090871"/>
    <w:rsid w:val="00096C04"/>
    <w:rsid w:val="000D4080"/>
    <w:rsid w:val="000D4F22"/>
    <w:rsid w:val="000E34AE"/>
    <w:rsid w:val="000F4688"/>
    <w:rsid w:val="0011591C"/>
    <w:rsid w:val="001169B2"/>
    <w:rsid w:val="0012136E"/>
    <w:rsid w:val="00133F31"/>
    <w:rsid w:val="001354CF"/>
    <w:rsid w:val="001360FF"/>
    <w:rsid w:val="00142C1B"/>
    <w:rsid w:val="00154D1A"/>
    <w:rsid w:val="00157102"/>
    <w:rsid w:val="00161F82"/>
    <w:rsid w:val="00163C3C"/>
    <w:rsid w:val="00163DF2"/>
    <w:rsid w:val="00164794"/>
    <w:rsid w:val="0017545E"/>
    <w:rsid w:val="00181122"/>
    <w:rsid w:val="001930F0"/>
    <w:rsid w:val="00195392"/>
    <w:rsid w:val="0019763E"/>
    <w:rsid w:val="001A2AE6"/>
    <w:rsid w:val="001B26E7"/>
    <w:rsid w:val="001B7C4D"/>
    <w:rsid w:val="001C77D7"/>
    <w:rsid w:val="001D0E31"/>
    <w:rsid w:val="001E145B"/>
    <w:rsid w:val="001E3E39"/>
    <w:rsid w:val="00201DDC"/>
    <w:rsid w:val="0020639D"/>
    <w:rsid w:val="002247B3"/>
    <w:rsid w:val="0022566A"/>
    <w:rsid w:val="00230637"/>
    <w:rsid w:val="002319D6"/>
    <w:rsid w:val="00241234"/>
    <w:rsid w:val="002466D7"/>
    <w:rsid w:val="00262C7A"/>
    <w:rsid w:val="00265EDB"/>
    <w:rsid w:val="002665E3"/>
    <w:rsid w:val="0026706F"/>
    <w:rsid w:val="0027044F"/>
    <w:rsid w:val="00273DCD"/>
    <w:rsid w:val="00291300"/>
    <w:rsid w:val="0029312A"/>
    <w:rsid w:val="00297C64"/>
    <w:rsid w:val="002A1BBE"/>
    <w:rsid w:val="002D2C09"/>
    <w:rsid w:val="002D557B"/>
    <w:rsid w:val="002E18D5"/>
    <w:rsid w:val="002F4971"/>
    <w:rsid w:val="00335B5E"/>
    <w:rsid w:val="0034420D"/>
    <w:rsid w:val="0035385A"/>
    <w:rsid w:val="00360E26"/>
    <w:rsid w:val="0037121C"/>
    <w:rsid w:val="00371596"/>
    <w:rsid w:val="00375FE7"/>
    <w:rsid w:val="003A026F"/>
    <w:rsid w:val="003B0878"/>
    <w:rsid w:val="003B1177"/>
    <w:rsid w:val="003B5E0D"/>
    <w:rsid w:val="003B69BE"/>
    <w:rsid w:val="003B6FDE"/>
    <w:rsid w:val="003C2904"/>
    <w:rsid w:val="003C69D3"/>
    <w:rsid w:val="003D3AEE"/>
    <w:rsid w:val="003E209D"/>
    <w:rsid w:val="003E3188"/>
    <w:rsid w:val="003F0082"/>
    <w:rsid w:val="00403975"/>
    <w:rsid w:val="00415160"/>
    <w:rsid w:val="004205C6"/>
    <w:rsid w:val="004233E0"/>
    <w:rsid w:val="0042393E"/>
    <w:rsid w:val="00441ED0"/>
    <w:rsid w:val="00444332"/>
    <w:rsid w:val="00446CBD"/>
    <w:rsid w:val="00451ABE"/>
    <w:rsid w:val="0046487B"/>
    <w:rsid w:val="0046597E"/>
    <w:rsid w:val="00467A0C"/>
    <w:rsid w:val="00481602"/>
    <w:rsid w:val="00486AA9"/>
    <w:rsid w:val="00491595"/>
    <w:rsid w:val="004C16AB"/>
    <w:rsid w:val="004C1AAA"/>
    <w:rsid w:val="004C3BB9"/>
    <w:rsid w:val="004E11F8"/>
    <w:rsid w:val="004E5CBE"/>
    <w:rsid w:val="00500A47"/>
    <w:rsid w:val="00502268"/>
    <w:rsid w:val="005415FF"/>
    <w:rsid w:val="0054503B"/>
    <w:rsid w:val="005450EA"/>
    <w:rsid w:val="00567205"/>
    <w:rsid w:val="005749BD"/>
    <w:rsid w:val="005772AB"/>
    <w:rsid w:val="00583C93"/>
    <w:rsid w:val="0059101F"/>
    <w:rsid w:val="005A074C"/>
    <w:rsid w:val="005A116B"/>
    <w:rsid w:val="005A4716"/>
    <w:rsid w:val="005B4F80"/>
    <w:rsid w:val="005C4669"/>
    <w:rsid w:val="005C605E"/>
    <w:rsid w:val="005D3E9F"/>
    <w:rsid w:val="005D5210"/>
    <w:rsid w:val="005D6AE1"/>
    <w:rsid w:val="005F343A"/>
    <w:rsid w:val="00614903"/>
    <w:rsid w:val="00615AC6"/>
    <w:rsid w:val="0062327A"/>
    <w:rsid w:val="00626204"/>
    <w:rsid w:val="006418E4"/>
    <w:rsid w:val="00642085"/>
    <w:rsid w:val="00656302"/>
    <w:rsid w:val="0065759F"/>
    <w:rsid w:val="006601D5"/>
    <w:rsid w:val="00660578"/>
    <w:rsid w:val="00663346"/>
    <w:rsid w:val="0066560C"/>
    <w:rsid w:val="00665ED2"/>
    <w:rsid w:val="006715C0"/>
    <w:rsid w:val="006748B0"/>
    <w:rsid w:val="00676320"/>
    <w:rsid w:val="006863CB"/>
    <w:rsid w:val="00692E12"/>
    <w:rsid w:val="006A2642"/>
    <w:rsid w:val="006A4688"/>
    <w:rsid w:val="00701A57"/>
    <w:rsid w:val="007149E5"/>
    <w:rsid w:val="00722559"/>
    <w:rsid w:val="00736ACA"/>
    <w:rsid w:val="0073776F"/>
    <w:rsid w:val="00743055"/>
    <w:rsid w:val="00766A0B"/>
    <w:rsid w:val="007743B9"/>
    <w:rsid w:val="00775C2D"/>
    <w:rsid w:val="007816C6"/>
    <w:rsid w:val="007826B4"/>
    <w:rsid w:val="0078403B"/>
    <w:rsid w:val="00787EA4"/>
    <w:rsid w:val="00793932"/>
    <w:rsid w:val="00797372"/>
    <w:rsid w:val="007D74EF"/>
    <w:rsid w:val="007E319D"/>
    <w:rsid w:val="007F0017"/>
    <w:rsid w:val="007F2983"/>
    <w:rsid w:val="008015A9"/>
    <w:rsid w:val="00804005"/>
    <w:rsid w:val="008074BA"/>
    <w:rsid w:val="00812E66"/>
    <w:rsid w:val="00813CC6"/>
    <w:rsid w:val="0082332A"/>
    <w:rsid w:val="008349A7"/>
    <w:rsid w:val="008458D6"/>
    <w:rsid w:val="00845F5F"/>
    <w:rsid w:val="00853DA9"/>
    <w:rsid w:val="00860393"/>
    <w:rsid w:val="00861701"/>
    <w:rsid w:val="0086598B"/>
    <w:rsid w:val="00874CDD"/>
    <w:rsid w:val="0088693C"/>
    <w:rsid w:val="00887062"/>
    <w:rsid w:val="00891604"/>
    <w:rsid w:val="00896F2B"/>
    <w:rsid w:val="008A0325"/>
    <w:rsid w:val="008B7D59"/>
    <w:rsid w:val="008C26DF"/>
    <w:rsid w:val="008E6262"/>
    <w:rsid w:val="008E7505"/>
    <w:rsid w:val="00906481"/>
    <w:rsid w:val="00911B42"/>
    <w:rsid w:val="009127CB"/>
    <w:rsid w:val="00912F5E"/>
    <w:rsid w:val="00913A34"/>
    <w:rsid w:val="00927BBB"/>
    <w:rsid w:val="0093446B"/>
    <w:rsid w:val="0094230D"/>
    <w:rsid w:val="00952101"/>
    <w:rsid w:val="00955CF2"/>
    <w:rsid w:val="00955E71"/>
    <w:rsid w:val="0096139C"/>
    <w:rsid w:val="00965EF1"/>
    <w:rsid w:val="00975AAB"/>
    <w:rsid w:val="0098369D"/>
    <w:rsid w:val="00994873"/>
    <w:rsid w:val="00995EEE"/>
    <w:rsid w:val="009A0410"/>
    <w:rsid w:val="009C34A6"/>
    <w:rsid w:val="009C4E30"/>
    <w:rsid w:val="009C562D"/>
    <w:rsid w:val="009C59F8"/>
    <w:rsid w:val="009E1BBA"/>
    <w:rsid w:val="009F222D"/>
    <w:rsid w:val="00A078FC"/>
    <w:rsid w:val="00A15B40"/>
    <w:rsid w:val="00A23421"/>
    <w:rsid w:val="00A2521C"/>
    <w:rsid w:val="00A26988"/>
    <w:rsid w:val="00A315E6"/>
    <w:rsid w:val="00A53119"/>
    <w:rsid w:val="00A56BD3"/>
    <w:rsid w:val="00A618E4"/>
    <w:rsid w:val="00A72360"/>
    <w:rsid w:val="00A73924"/>
    <w:rsid w:val="00A8677A"/>
    <w:rsid w:val="00AA6379"/>
    <w:rsid w:val="00AB3851"/>
    <w:rsid w:val="00AC3422"/>
    <w:rsid w:val="00AD3122"/>
    <w:rsid w:val="00AE0C3C"/>
    <w:rsid w:val="00AF0E9B"/>
    <w:rsid w:val="00B1434C"/>
    <w:rsid w:val="00B17AEF"/>
    <w:rsid w:val="00B46518"/>
    <w:rsid w:val="00B525C8"/>
    <w:rsid w:val="00B63518"/>
    <w:rsid w:val="00B65EA8"/>
    <w:rsid w:val="00B66847"/>
    <w:rsid w:val="00B72D3A"/>
    <w:rsid w:val="00B738DD"/>
    <w:rsid w:val="00BB25B1"/>
    <w:rsid w:val="00BB2B31"/>
    <w:rsid w:val="00BC6599"/>
    <w:rsid w:val="00BC77AD"/>
    <w:rsid w:val="00BE6E39"/>
    <w:rsid w:val="00BF2996"/>
    <w:rsid w:val="00BF7C46"/>
    <w:rsid w:val="00C00388"/>
    <w:rsid w:val="00C10991"/>
    <w:rsid w:val="00C13684"/>
    <w:rsid w:val="00C1455A"/>
    <w:rsid w:val="00C233C1"/>
    <w:rsid w:val="00C246E0"/>
    <w:rsid w:val="00C33277"/>
    <w:rsid w:val="00C3614C"/>
    <w:rsid w:val="00C47D26"/>
    <w:rsid w:val="00C5286D"/>
    <w:rsid w:val="00C530D7"/>
    <w:rsid w:val="00C74449"/>
    <w:rsid w:val="00C762D9"/>
    <w:rsid w:val="00C822ED"/>
    <w:rsid w:val="00C94B64"/>
    <w:rsid w:val="00C9595B"/>
    <w:rsid w:val="00CA4D88"/>
    <w:rsid w:val="00CB6BE5"/>
    <w:rsid w:val="00CC12DD"/>
    <w:rsid w:val="00D14653"/>
    <w:rsid w:val="00D169CD"/>
    <w:rsid w:val="00D2242B"/>
    <w:rsid w:val="00D22D7F"/>
    <w:rsid w:val="00D3079B"/>
    <w:rsid w:val="00D36026"/>
    <w:rsid w:val="00D41600"/>
    <w:rsid w:val="00D75115"/>
    <w:rsid w:val="00D91AE8"/>
    <w:rsid w:val="00DB3A1F"/>
    <w:rsid w:val="00DC387C"/>
    <w:rsid w:val="00DC7F61"/>
    <w:rsid w:val="00DD7ED2"/>
    <w:rsid w:val="00E04267"/>
    <w:rsid w:val="00E102B0"/>
    <w:rsid w:val="00E1162A"/>
    <w:rsid w:val="00E4112C"/>
    <w:rsid w:val="00E43607"/>
    <w:rsid w:val="00E4517E"/>
    <w:rsid w:val="00E451A7"/>
    <w:rsid w:val="00E4615C"/>
    <w:rsid w:val="00E536C8"/>
    <w:rsid w:val="00E55075"/>
    <w:rsid w:val="00E60C75"/>
    <w:rsid w:val="00E62188"/>
    <w:rsid w:val="00E76E68"/>
    <w:rsid w:val="00E93169"/>
    <w:rsid w:val="00E93636"/>
    <w:rsid w:val="00EB3009"/>
    <w:rsid w:val="00EB54CF"/>
    <w:rsid w:val="00ED007B"/>
    <w:rsid w:val="00ED7530"/>
    <w:rsid w:val="00EF2EAC"/>
    <w:rsid w:val="00F07974"/>
    <w:rsid w:val="00F36906"/>
    <w:rsid w:val="00F432FA"/>
    <w:rsid w:val="00F627AD"/>
    <w:rsid w:val="00F636D5"/>
    <w:rsid w:val="00F64C4E"/>
    <w:rsid w:val="00F664B7"/>
    <w:rsid w:val="00F83BEE"/>
    <w:rsid w:val="00FE2A95"/>
    <w:rsid w:val="00FF2B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58F1"/>
  <w15:docId w15:val="{3D720904-D157-4BA6-BE4B-36D19377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E4"/>
    <w:pPr>
      <w:ind w:left="720"/>
      <w:contextualSpacing/>
    </w:pPr>
  </w:style>
  <w:style w:type="paragraph" w:styleId="BalloonText">
    <w:name w:val="Balloon Text"/>
    <w:basedOn w:val="Normal"/>
    <w:link w:val="BalloonTextChar"/>
    <w:uiPriority w:val="99"/>
    <w:semiHidden/>
    <w:unhideWhenUsed/>
    <w:rsid w:val="00A53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3369">
      <w:bodyDiv w:val="1"/>
      <w:marLeft w:val="0"/>
      <w:marRight w:val="0"/>
      <w:marTop w:val="0"/>
      <w:marBottom w:val="0"/>
      <w:divBdr>
        <w:top w:val="none" w:sz="0" w:space="0" w:color="auto"/>
        <w:left w:val="none" w:sz="0" w:space="0" w:color="auto"/>
        <w:bottom w:val="none" w:sz="0" w:space="0" w:color="auto"/>
        <w:right w:val="none" w:sz="0" w:space="0" w:color="auto"/>
      </w:divBdr>
    </w:div>
    <w:div w:id="789518836">
      <w:bodyDiv w:val="1"/>
      <w:marLeft w:val="0"/>
      <w:marRight w:val="0"/>
      <w:marTop w:val="0"/>
      <w:marBottom w:val="0"/>
      <w:divBdr>
        <w:top w:val="none" w:sz="0" w:space="0" w:color="auto"/>
        <w:left w:val="none" w:sz="0" w:space="0" w:color="auto"/>
        <w:bottom w:val="none" w:sz="0" w:space="0" w:color="auto"/>
        <w:right w:val="none" w:sz="0" w:space="0" w:color="auto"/>
      </w:divBdr>
    </w:div>
    <w:div w:id="14555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Davidson</dc:creator>
  <cp:lastModifiedBy>Anna Lyle</cp:lastModifiedBy>
  <cp:revision>2</cp:revision>
  <cp:lastPrinted>2019-04-03T14:12:00Z</cp:lastPrinted>
  <dcterms:created xsi:type="dcterms:W3CDTF">2019-06-20T09:45:00Z</dcterms:created>
  <dcterms:modified xsi:type="dcterms:W3CDTF">2019-06-20T09:45:00Z</dcterms:modified>
</cp:coreProperties>
</file>